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D116" w14:textId="77777777" w:rsidR="00B44A20" w:rsidRDefault="006D1F10" w:rsidP="00C531BF">
      <w:pPr>
        <w:jc w:val="center"/>
        <w:rPr>
          <w:b/>
          <w:u w:val="single"/>
        </w:rPr>
      </w:pPr>
      <w:r w:rsidRPr="00B44A20">
        <w:rPr>
          <w:b/>
          <w:u w:val="single"/>
        </w:rPr>
        <w:t>SYNTH</w:t>
      </w:r>
      <w:r w:rsidR="00B44A20">
        <w:rPr>
          <w:b/>
          <w:u w:val="single"/>
        </w:rPr>
        <w:t>E</w:t>
      </w:r>
      <w:r w:rsidRPr="00B44A20">
        <w:rPr>
          <w:b/>
          <w:u w:val="single"/>
        </w:rPr>
        <w:t>SE DES RECOMMANDATIONS RETRAITE GIBS 2024</w:t>
      </w:r>
    </w:p>
    <w:p w14:paraId="2BD91D06" w14:textId="77777777" w:rsidR="00B44A20" w:rsidRDefault="00B44A20" w:rsidP="00B44A20">
      <w:pPr>
        <w:pStyle w:val="Paragraphedeliste"/>
        <w:numPr>
          <w:ilvl w:val="0"/>
          <w:numId w:val="1"/>
        </w:numPr>
        <w:jc w:val="both"/>
      </w:pPr>
      <w:r>
        <w:t>Organiser 4 réunions annuelles a</w:t>
      </w:r>
      <w:r w:rsidR="00242E62">
        <w:t xml:space="preserve">vec le MSPHPS afin d’aborder les priorités sectorielles à caractère </w:t>
      </w:r>
      <w:r w:rsidR="00303CE2">
        <w:t>multisectoriel</w:t>
      </w:r>
      <w:r w:rsidR="00242E62">
        <w:t>.</w:t>
      </w:r>
    </w:p>
    <w:p w14:paraId="433B3576" w14:textId="77777777" w:rsidR="00242E62" w:rsidRDefault="0085124C" w:rsidP="00B44A20">
      <w:pPr>
        <w:pStyle w:val="Paragraphedeliste"/>
        <w:numPr>
          <w:ilvl w:val="0"/>
          <w:numId w:val="1"/>
        </w:numPr>
        <w:jc w:val="both"/>
      </w:pPr>
      <w:r>
        <w:t>Organiser 2 ou 3 réunions</w:t>
      </w:r>
      <w:r w:rsidR="009D24D6">
        <w:t xml:space="preserve"> entre GIB pour </w:t>
      </w:r>
      <w:r w:rsidR="00707B45">
        <w:t>identifier</w:t>
      </w:r>
      <w:r w:rsidR="009D24D6">
        <w:t xml:space="preserve"> les dossiers d’</w:t>
      </w:r>
      <w:r w:rsidR="00707B45">
        <w:t>intérêt</w:t>
      </w:r>
      <w:r w:rsidR="009D24D6">
        <w:t xml:space="preserve"> commun et créer </w:t>
      </w:r>
      <w:r w:rsidR="001251A9">
        <w:t>des synergies</w:t>
      </w:r>
      <w:r w:rsidR="009D24D6">
        <w:t xml:space="preserve"> d’action à partager avec les décideurs </w:t>
      </w:r>
      <w:r w:rsidR="00242E62">
        <w:t xml:space="preserve"> </w:t>
      </w:r>
    </w:p>
    <w:p w14:paraId="517ED83E" w14:textId="77777777" w:rsidR="001251A9" w:rsidRDefault="001251A9" w:rsidP="00387A73">
      <w:pPr>
        <w:pStyle w:val="Paragraphedeliste"/>
        <w:numPr>
          <w:ilvl w:val="0"/>
          <w:numId w:val="1"/>
        </w:numPr>
        <w:jc w:val="both"/>
      </w:pPr>
      <w:r>
        <w:t>Lutte contre la maladie</w:t>
      </w:r>
    </w:p>
    <w:p w14:paraId="0A3A9D57" w14:textId="77777777" w:rsidR="00387A73" w:rsidRPr="001251A9" w:rsidRDefault="00387A73" w:rsidP="001251A9">
      <w:pPr>
        <w:pStyle w:val="Paragraphedeliste"/>
        <w:jc w:val="both"/>
        <w:rPr>
          <w:u w:val="single"/>
        </w:rPr>
      </w:pPr>
      <w:r w:rsidRPr="001251A9">
        <w:rPr>
          <w:u w:val="single"/>
        </w:rPr>
        <w:t xml:space="preserve">Domaine des Ressources </w:t>
      </w:r>
      <w:r w:rsidR="001251A9" w:rsidRPr="001251A9">
        <w:rPr>
          <w:u w:val="single"/>
        </w:rPr>
        <w:t>Humaines :</w:t>
      </w:r>
    </w:p>
    <w:p w14:paraId="05B2CBC8" w14:textId="77777777" w:rsidR="00387A73" w:rsidRDefault="00387A73" w:rsidP="001251A9">
      <w:pPr>
        <w:pStyle w:val="Paragraphedeliste"/>
        <w:numPr>
          <w:ilvl w:val="0"/>
          <w:numId w:val="2"/>
        </w:numPr>
        <w:jc w:val="both"/>
      </w:pPr>
      <w:r w:rsidRPr="00387A73">
        <w:t>Assurer la motivation du personnel</w:t>
      </w:r>
    </w:p>
    <w:p w14:paraId="37405B79" w14:textId="77777777" w:rsidR="00387A73" w:rsidRDefault="00387A73" w:rsidP="001251A9">
      <w:pPr>
        <w:pStyle w:val="Paragraphedeliste"/>
        <w:numPr>
          <w:ilvl w:val="0"/>
          <w:numId w:val="2"/>
        </w:numPr>
        <w:jc w:val="both"/>
      </w:pPr>
      <w:r w:rsidRPr="00387A73">
        <w:t xml:space="preserve">Plaidoyer pour le recrutement du personnel qualifié et assurer leur déploiement (IT, </w:t>
      </w:r>
      <w:r w:rsidR="00B53932" w:rsidRPr="00387A73">
        <w:t>Sage-femme</w:t>
      </w:r>
      <w:r w:rsidRPr="00387A73">
        <w:t>, Technicien labo, ATS, Méd</w:t>
      </w:r>
      <w:r w:rsidR="00B53932">
        <w:t>e</w:t>
      </w:r>
      <w:r w:rsidRPr="00387A73">
        <w:t>cins…)</w:t>
      </w:r>
    </w:p>
    <w:p w14:paraId="3B02040E" w14:textId="77777777" w:rsidR="00387A73" w:rsidRPr="00387A73" w:rsidRDefault="00387A73" w:rsidP="00B53932">
      <w:pPr>
        <w:pStyle w:val="Paragraphedeliste"/>
        <w:numPr>
          <w:ilvl w:val="0"/>
          <w:numId w:val="2"/>
        </w:numPr>
        <w:jc w:val="both"/>
      </w:pPr>
      <w:r w:rsidRPr="00387A73">
        <w:t>Renforcer les capacités du personnel recruté /déployé</w:t>
      </w:r>
    </w:p>
    <w:p w14:paraId="5762516B" w14:textId="77777777" w:rsidR="00387A73" w:rsidRPr="00B53932" w:rsidRDefault="00387A73" w:rsidP="00B53932">
      <w:pPr>
        <w:pStyle w:val="Paragraphedeliste"/>
        <w:jc w:val="both"/>
        <w:rPr>
          <w:u w:val="single"/>
        </w:rPr>
      </w:pPr>
      <w:r w:rsidRPr="00B53932">
        <w:rPr>
          <w:u w:val="single"/>
        </w:rPr>
        <w:t xml:space="preserve">Domaine de la </w:t>
      </w:r>
      <w:r w:rsidR="00B53932" w:rsidRPr="00B53932">
        <w:rPr>
          <w:u w:val="single"/>
        </w:rPr>
        <w:t>Surveillance :</w:t>
      </w:r>
      <w:r w:rsidRPr="00B53932">
        <w:rPr>
          <w:u w:val="single"/>
        </w:rPr>
        <w:t xml:space="preserve"> </w:t>
      </w:r>
    </w:p>
    <w:p w14:paraId="71DA68E2" w14:textId="77777777" w:rsidR="00387A73" w:rsidRDefault="00387A73" w:rsidP="00AC6A01">
      <w:pPr>
        <w:pStyle w:val="Paragraphedeliste"/>
        <w:numPr>
          <w:ilvl w:val="0"/>
          <w:numId w:val="3"/>
        </w:numPr>
        <w:ind w:left="1418" w:hanging="284"/>
        <w:jc w:val="both"/>
      </w:pPr>
      <w:r w:rsidRPr="00387A73">
        <w:t>Renforcer la mise en place du système d’alerte Précoce et la surveillance à base communautaire.</w:t>
      </w:r>
    </w:p>
    <w:p w14:paraId="62F69F55" w14:textId="77777777" w:rsidR="00387A73" w:rsidRDefault="00387A73" w:rsidP="00AC6A01">
      <w:pPr>
        <w:pStyle w:val="Paragraphedeliste"/>
        <w:numPr>
          <w:ilvl w:val="0"/>
          <w:numId w:val="3"/>
        </w:numPr>
        <w:ind w:left="1418" w:hanging="284"/>
        <w:jc w:val="both"/>
      </w:pPr>
      <w:r w:rsidRPr="00387A73">
        <w:t>Organiser les formations des agents en SIMR3 et les EIR dans les zones Provinces et Zones de santé non couvertes</w:t>
      </w:r>
    </w:p>
    <w:p w14:paraId="2A4B7C30" w14:textId="77777777" w:rsidR="00387A73" w:rsidRDefault="00387A73" w:rsidP="00AC6A01">
      <w:pPr>
        <w:pStyle w:val="Paragraphedeliste"/>
        <w:numPr>
          <w:ilvl w:val="0"/>
          <w:numId w:val="3"/>
        </w:numPr>
        <w:ind w:left="1418" w:hanging="284"/>
        <w:jc w:val="both"/>
      </w:pPr>
      <w:r w:rsidRPr="00387A73">
        <w:t xml:space="preserve"> Assurer la digitalisation du système de gestion de l’information sanitaire et mise à disposition du matériel communication pour la transmission des données : </w:t>
      </w:r>
      <w:r w:rsidR="00223D88" w:rsidRPr="00387A73">
        <w:t xml:space="preserve">crédit, </w:t>
      </w:r>
      <w:proofErr w:type="spellStart"/>
      <w:r w:rsidR="00223D88" w:rsidRPr="00387A73">
        <w:t>VSat</w:t>
      </w:r>
      <w:proofErr w:type="spellEnd"/>
      <w:r w:rsidRPr="00387A73">
        <w:t xml:space="preserve"> internet</w:t>
      </w:r>
    </w:p>
    <w:p w14:paraId="2CE7FE07" w14:textId="77777777" w:rsidR="001251A9" w:rsidRPr="00223D88" w:rsidRDefault="001251A9" w:rsidP="00223D88">
      <w:pPr>
        <w:pStyle w:val="Paragraphedeliste"/>
        <w:jc w:val="both"/>
        <w:rPr>
          <w:u w:val="single"/>
        </w:rPr>
      </w:pPr>
      <w:r w:rsidRPr="00223D88">
        <w:rPr>
          <w:u w:val="single"/>
        </w:rPr>
        <w:t>Domaine Laboratoire</w:t>
      </w:r>
    </w:p>
    <w:p w14:paraId="5B091C0C" w14:textId="77777777" w:rsidR="001251A9" w:rsidRDefault="001251A9" w:rsidP="00AC6A01">
      <w:pPr>
        <w:pStyle w:val="Paragraphedeliste"/>
        <w:numPr>
          <w:ilvl w:val="0"/>
          <w:numId w:val="3"/>
        </w:numPr>
        <w:ind w:firstLine="414"/>
        <w:jc w:val="both"/>
      </w:pPr>
      <w:r w:rsidRPr="001251A9">
        <w:t>Appuyer la décentralisation des laboratoires pour la confirmation diagnostic</w:t>
      </w:r>
    </w:p>
    <w:p w14:paraId="0785D978" w14:textId="77777777" w:rsidR="001251A9" w:rsidRDefault="001251A9" w:rsidP="00AC6A01">
      <w:pPr>
        <w:pStyle w:val="Paragraphedeliste"/>
        <w:numPr>
          <w:ilvl w:val="0"/>
          <w:numId w:val="3"/>
        </w:numPr>
        <w:ind w:firstLine="414"/>
        <w:jc w:val="both"/>
      </w:pPr>
      <w:r w:rsidRPr="001251A9">
        <w:t>Appuyer le transport des échantillons</w:t>
      </w:r>
    </w:p>
    <w:p w14:paraId="34F493A8" w14:textId="77777777" w:rsidR="001251A9" w:rsidRPr="001251A9" w:rsidRDefault="001251A9" w:rsidP="00AC6A01">
      <w:pPr>
        <w:pStyle w:val="Paragraphedeliste"/>
        <w:numPr>
          <w:ilvl w:val="0"/>
          <w:numId w:val="3"/>
        </w:numPr>
        <w:ind w:firstLine="414"/>
        <w:jc w:val="both"/>
      </w:pPr>
      <w:r w:rsidRPr="001251A9">
        <w:t>Rendre disponible les intrants, réactifs, matériels et autres consommables du laboratoire</w:t>
      </w:r>
    </w:p>
    <w:p w14:paraId="25D15D50" w14:textId="77777777" w:rsidR="001251A9" w:rsidRPr="001251A9" w:rsidRDefault="001251A9" w:rsidP="00916EF4">
      <w:pPr>
        <w:pStyle w:val="Paragraphedeliste"/>
        <w:jc w:val="both"/>
      </w:pPr>
      <w:r w:rsidRPr="00916EF4">
        <w:rPr>
          <w:u w:val="single"/>
        </w:rPr>
        <w:t xml:space="preserve">Domaine </w:t>
      </w:r>
      <w:r w:rsidR="00916EF4" w:rsidRPr="00916EF4">
        <w:rPr>
          <w:u w:val="single"/>
        </w:rPr>
        <w:t>Gouvernance</w:t>
      </w:r>
      <w:r w:rsidR="00916EF4" w:rsidRPr="001251A9">
        <w:t xml:space="preserve"> </w:t>
      </w:r>
    </w:p>
    <w:p w14:paraId="6BF59243" w14:textId="77777777" w:rsidR="00B70BD3" w:rsidRDefault="001251A9" w:rsidP="00AC6A01">
      <w:pPr>
        <w:pStyle w:val="Paragraphedeliste"/>
        <w:numPr>
          <w:ilvl w:val="0"/>
          <w:numId w:val="3"/>
        </w:numPr>
        <w:ind w:firstLine="414"/>
        <w:jc w:val="both"/>
      </w:pPr>
      <w:r w:rsidRPr="001251A9">
        <w:t xml:space="preserve">Renforcer la gouvernance du système de santé à tous les niveaux </w:t>
      </w:r>
    </w:p>
    <w:p w14:paraId="46F90A21" w14:textId="77777777" w:rsidR="001251A9" w:rsidRPr="001251A9" w:rsidRDefault="001251A9" w:rsidP="00B70BD3">
      <w:pPr>
        <w:pStyle w:val="Paragraphedeliste"/>
        <w:jc w:val="both"/>
      </w:pPr>
      <w:r w:rsidRPr="00B70BD3">
        <w:rPr>
          <w:u w:val="single"/>
        </w:rPr>
        <w:t>Domaine Offre des Soins</w:t>
      </w:r>
      <w:r w:rsidRPr="001251A9">
        <w:t xml:space="preserve"> : </w:t>
      </w:r>
    </w:p>
    <w:p w14:paraId="5B065C25" w14:textId="77777777" w:rsidR="001251A9" w:rsidRDefault="001251A9" w:rsidP="00214BD7">
      <w:pPr>
        <w:pStyle w:val="Paragraphedeliste"/>
        <w:numPr>
          <w:ilvl w:val="0"/>
          <w:numId w:val="3"/>
        </w:numPr>
        <w:ind w:left="1418" w:hanging="284"/>
        <w:jc w:val="both"/>
      </w:pPr>
      <w:r w:rsidRPr="001251A9">
        <w:t>Renforcer les capacités de l’offre des soins dans les structures sanitaires et réaliser la cartographie des ressources</w:t>
      </w:r>
    </w:p>
    <w:p w14:paraId="1E09CE36" w14:textId="77777777" w:rsidR="00FC3637" w:rsidRDefault="00FC3637" w:rsidP="00FC3637">
      <w:pPr>
        <w:pStyle w:val="Paragraphedeliste"/>
        <w:numPr>
          <w:ilvl w:val="0"/>
          <w:numId w:val="1"/>
        </w:numPr>
        <w:jc w:val="both"/>
      </w:pPr>
      <w:r>
        <w:t>RH</w:t>
      </w:r>
    </w:p>
    <w:p w14:paraId="7938AE21" w14:textId="77777777" w:rsidR="001B3449" w:rsidRDefault="001B3449" w:rsidP="00214BD7">
      <w:pPr>
        <w:pStyle w:val="Paragraphedeliste"/>
        <w:numPr>
          <w:ilvl w:val="0"/>
          <w:numId w:val="3"/>
        </w:numPr>
        <w:ind w:left="1418" w:hanging="284"/>
        <w:jc w:val="both"/>
      </w:pPr>
      <w:r>
        <w:t xml:space="preserve">Actualiser la cartographie des RHS afin de permettre leur PEC par la Fonction Publique </w:t>
      </w:r>
    </w:p>
    <w:p w14:paraId="0E7D10E4" w14:textId="77777777" w:rsidR="001B3449" w:rsidRDefault="001B3449" w:rsidP="00214BD7">
      <w:pPr>
        <w:pStyle w:val="Paragraphedeliste"/>
        <w:numPr>
          <w:ilvl w:val="0"/>
          <w:numId w:val="3"/>
        </w:numPr>
        <w:ind w:left="1418" w:hanging="284"/>
        <w:jc w:val="both"/>
      </w:pPr>
      <w:r>
        <w:t>Financer les urgences sanitaires à travers les PAO des ZS par la mise en place d’un fond de contingence en cas d’épidémie</w:t>
      </w:r>
    </w:p>
    <w:p w14:paraId="6EFDB9B1" w14:textId="77777777" w:rsidR="001B3449" w:rsidRDefault="001B3449" w:rsidP="00214BD7">
      <w:pPr>
        <w:pStyle w:val="Paragraphedeliste"/>
        <w:numPr>
          <w:ilvl w:val="0"/>
          <w:numId w:val="3"/>
        </w:numPr>
        <w:ind w:left="1418" w:hanging="284"/>
        <w:jc w:val="both"/>
      </w:pPr>
      <w:r>
        <w:t xml:space="preserve">Mettre à échelle la digitalisation de la gestion des RHS pour la maitrise et gestion optimale des RH  </w:t>
      </w:r>
    </w:p>
    <w:p w14:paraId="16C9A45A" w14:textId="77777777" w:rsidR="001B3449" w:rsidRDefault="001B3449" w:rsidP="00214BD7">
      <w:pPr>
        <w:pStyle w:val="Paragraphedeliste"/>
        <w:numPr>
          <w:ilvl w:val="0"/>
          <w:numId w:val="3"/>
        </w:numPr>
        <w:ind w:left="1418" w:hanging="284"/>
        <w:jc w:val="both"/>
      </w:pPr>
      <w:r>
        <w:t xml:space="preserve">Mettre en place un cadre de dialogue intersectoriel MSPHPS-ESU-FP-Budget- Finances </w:t>
      </w:r>
    </w:p>
    <w:p w14:paraId="50B2DDA5" w14:textId="77777777" w:rsidR="001B3449" w:rsidRPr="00BE1FD7" w:rsidRDefault="001B3449" w:rsidP="00214BD7">
      <w:pPr>
        <w:pStyle w:val="Paragraphedeliste"/>
        <w:numPr>
          <w:ilvl w:val="0"/>
          <w:numId w:val="3"/>
        </w:numPr>
        <w:ind w:left="1418" w:hanging="284"/>
        <w:jc w:val="both"/>
        <w:rPr>
          <w:color w:val="FF0000"/>
        </w:rPr>
      </w:pPr>
      <w:r w:rsidRPr="00BE1FD7">
        <w:rPr>
          <w:color w:val="FF0000"/>
        </w:rPr>
        <w:t xml:space="preserve">Orienter en priorité, les financements vers les interventions en rapport au renforcement des RH et cela dans tous les piliers du </w:t>
      </w:r>
      <w:commentRangeStart w:id="0"/>
      <w:r w:rsidRPr="00BE1FD7">
        <w:rPr>
          <w:color w:val="FF0000"/>
        </w:rPr>
        <w:t>système</w:t>
      </w:r>
      <w:commentRangeEnd w:id="0"/>
      <w:r w:rsidR="00710817">
        <w:rPr>
          <w:rStyle w:val="Marquedecommentaire"/>
        </w:rPr>
        <w:commentReference w:id="0"/>
      </w:r>
    </w:p>
    <w:p w14:paraId="78EDF1AF" w14:textId="77777777" w:rsidR="00693BD8" w:rsidRDefault="00693BD8" w:rsidP="00693BD8">
      <w:pPr>
        <w:pStyle w:val="Paragraphedeliste"/>
        <w:numPr>
          <w:ilvl w:val="0"/>
          <w:numId w:val="3"/>
        </w:numPr>
        <w:ind w:left="1418" w:hanging="284"/>
        <w:jc w:val="both"/>
      </w:pPr>
      <w:r>
        <w:t>Adopter et mettre en œuvre un nouvel agenda de plaidoyer de haut niveau basées sur les évidences disponibles (Note technique) pour obtenir l’engagement ferme de l’Etat sur :</w:t>
      </w:r>
      <w:r w:rsidR="00527B2A">
        <w:tab/>
      </w:r>
    </w:p>
    <w:p w14:paraId="5B5DB23F" w14:textId="77777777" w:rsidR="00693BD8" w:rsidRDefault="00693BD8" w:rsidP="00A07CE4">
      <w:pPr>
        <w:pStyle w:val="Paragraphedeliste"/>
        <w:numPr>
          <w:ilvl w:val="0"/>
          <w:numId w:val="3"/>
        </w:numPr>
        <w:ind w:left="1418" w:hanging="425"/>
        <w:jc w:val="both"/>
      </w:pPr>
      <w:r>
        <w:t xml:space="preserve">Harmonisation des fichiers des ressources humaines existant (DRH santé, Budget, Fonction Publique pour aboutir à un fichier unique permettant la </w:t>
      </w:r>
      <w:r>
        <w:lastRenderedPageBreak/>
        <w:t>gestion efficiente des effectifs (y compris redéploiement), gestion de carrière et régularisation de la rémunération des RHS répertoriées</w:t>
      </w:r>
    </w:p>
    <w:p w14:paraId="348BF57A" w14:textId="77777777" w:rsidR="00693BD8" w:rsidRDefault="00693BD8" w:rsidP="00693BD8">
      <w:pPr>
        <w:pStyle w:val="Paragraphedeliste"/>
        <w:numPr>
          <w:ilvl w:val="0"/>
          <w:numId w:val="3"/>
        </w:numPr>
        <w:ind w:left="1418" w:hanging="284"/>
        <w:jc w:val="both"/>
      </w:pPr>
      <w:r>
        <w:t xml:space="preserve">Adoption d’une politique de rémunération adéquate </w:t>
      </w:r>
      <w:r w:rsidR="008D4FA9">
        <w:t>en</w:t>
      </w:r>
      <w:r>
        <w:t xml:space="preserve"> encourageant le déploiement des </w:t>
      </w:r>
      <w:r w:rsidR="00AB57FC">
        <w:t xml:space="preserve">RH </w:t>
      </w:r>
      <w:r w:rsidR="0007122A">
        <w:t xml:space="preserve">là </w:t>
      </w:r>
      <w:r>
        <w:t>où les besoins sont le</w:t>
      </w:r>
      <w:r w:rsidR="0007122A">
        <w:t>s</w:t>
      </w:r>
      <w:r>
        <w:t xml:space="preserve"> plus marquant</w:t>
      </w:r>
      <w:r w:rsidR="0007122A">
        <w:t>s</w:t>
      </w:r>
      <w:r>
        <w:t xml:space="preserve"> (zones d’accès difficile, desservie, etc.)</w:t>
      </w:r>
    </w:p>
    <w:p w14:paraId="785513F2" w14:textId="77777777" w:rsidR="00693BD8" w:rsidRDefault="00693BD8" w:rsidP="00693BD8">
      <w:pPr>
        <w:pStyle w:val="Paragraphedeliste"/>
        <w:numPr>
          <w:ilvl w:val="0"/>
          <w:numId w:val="3"/>
        </w:numPr>
        <w:ind w:left="1418" w:hanging="284"/>
        <w:jc w:val="both"/>
      </w:pPr>
      <w:r>
        <w:t>La nécessité de mettre en place des mécanismes de régulation de la production des RHS sur la base d’un plan répondant aux besoins du pays</w:t>
      </w:r>
    </w:p>
    <w:p w14:paraId="72EB27D1" w14:textId="77777777" w:rsidR="00693BD8" w:rsidRDefault="00693BD8" w:rsidP="0015634D">
      <w:pPr>
        <w:pStyle w:val="Paragraphedeliste"/>
        <w:numPr>
          <w:ilvl w:val="0"/>
          <w:numId w:val="3"/>
        </w:numPr>
        <w:ind w:left="1418" w:hanging="284"/>
        <w:jc w:val="both"/>
      </w:pPr>
      <w:r>
        <w:t xml:space="preserve">Appuyer l’organisation des </w:t>
      </w:r>
      <w:r w:rsidR="0007122A">
        <w:t>E</w:t>
      </w:r>
      <w:r>
        <w:t xml:space="preserve">tats </w:t>
      </w:r>
      <w:r w:rsidR="0007122A">
        <w:t>G</w:t>
      </w:r>
      <w:r>
        <w:t>énéraux des RHS, moyennant l’engagement préalable du Gouvernement sur les questions clés ayant fait l’objet du plaidoyer.</w:t>
      </w:r>
    </w:p>
    <w:p w14:paraId="42637556" w14:textId="77777777" w:rsidR="00715451" w:rsidRDefault="00693BD8" w:rsidP="007D27DB">
      <w:pPr>
        <w:pStyle w:val="Paragraphedeliste"/>
        <w:numPr>
          <w:ilvl w:val="0"/>
          <w:numId w:val="3"/>
        </w:numPr>
        <w:ind w:left="1418" w:hanging="284"/>
        <w:jc w:val="both"/>
      </w:pPr>
      <w:r>
        <w:t>Appuyer la finalisation PNDRH</w:t>
      </w:r>
      <w:r w:rsidR="00EF5F64">
        <w:t>S</w:t>
      </w:r>
      <w:r>
        <w:t xml:space="preserve"> en s’assurant qu’il prend en compte les actions clés pour garantir un changement de paradigme dans la gestion et le développement des RHS (extension déploiement </w:t>
      </w:r>
      <w:proofErr w:type="spellStart"/>
      <w:r>
        <w:t>iRHIS</w:t>
      </w:r>
      <w:proofErr w:type="spellEnd"/>
      <w:r>
        <w:t xml:space="preserve">, régulation de la production, rémunération, gestion de carrière, </w:t>
      </w:r>
      <w:proofErr w:type="spellStart"/>
      <w:r>
        <w:t>etc</w:t>
      </w:r>
      <w:proofErr w:type="spellEnd"/>
      <w:r>
        <w:t>)</w:t>
      </w:r>
    </w:p>
    <w:p w14:paraId="7C993A2E" w14:textId="77777777" w:rsidR="00C341E3" w:rsidRDefault="00C341E3" w:rsidP="00C341E3">
      <w:pPr>
        <w:pStyle w:val="Paragraphedeliste"/>
        <w:numPr>
          <w:ilvl w:val="0"/>
          <w:numId w:val="1"/>
        </w:numPr>
        <w:jc w:val="both"/>
      </w:pPr>
      <w:r>
        <w:t>MEG</w:t>
      </w:r>
    </w:p>
    <w:p w14:paraId="1D5A0407" w14:textId="77777777" w:rsidR="00C341E3" w:rsidRDefault="0091273D" w:rsidP="0091273D">
      <w:pPr>
        <w:pStyle w:val="Paragraphedeliste"/>
        <w:numPr>
          <w:ilvl w:val="0"/>
          <w:numId w:val="4"/>
        </w:numPr>
        <w:jc w:val="both"/>
      </w:pPr>
      <w:r>
        <w:t xml:space="preserve">Evaluation du secteur pharmaceutique </w:t>
      </w:r>
    </w:p>
    <w:p w14:paraId="21802E82" w14:textId="287D9243" w:rsidR="00DB4DCF" w:rsidRDefault="00DB4DCF" w:rsidP="0091273D">
      <w:pPr>
        <w:pStyle w:val="Paragraphedeliste"/>
        <w:numPr>
          <w:ilvl w:val="0"/>
          <w:numId w:val="4"/>
        </w:numPr>
        <w:jc w:val="both"/>
      </w:pPr>
      <w:r>
        <w:t>Actualiser la politique pharmaceutique nationale</w:t>
      </w:r>
    </w:p>
    <w:p w14:paraId="7460CEB5" w14:textId="1FC96205" w:rsidR="00085B09" w:rsidRDefault="00085B09" w:rsidP="00085B09">
      <w:pPr>
        <w:pStyle w:val="Paragraphedeliste"/>
        <w:numPr>
          <w:ilvl w:val="0"/>
          <w:numId w:val="1"/>
        </w:numPr>
        <w:jc w:val="both"/>
      </w:pPr>
      <w:r>
        <w:t>Financement</w:t>
      </w:r>
    </w:p>
    <w:p w14:paraId="0BC21F81" w14:textId="77777777" w:rsidR="00085B09" w:rsidRDefault="00085B09" w:rsidP="00085B09">
      <w:pPr>
        <w:pStyle w:val="Paragraphedeliste"/>
        <w:numPr>
          <w:ilvl w:val="0"/>
          <w:numId w:val="5"/>
        </w:numPr>
        <w:jc w:val="both"/>
      </w:pPr>
      <w:bookmarkStart w:id="1" w:name="_GoBack"/>
      <w:bookmarkEnd w:id="1"/>
    </w:p>
    <w:p w14:paraId="79804F34" w14:textId="2C94411A" w:rsidR="00044185" w:rsidRDefault="00044185" w:rsidP="00085B09">
      <w:pPr>
        <w:jc w:val="both"/>
      </w:pPr>
    </w:p>
    <w:p w14:paraId="4A6B8570" w14:textId="77777777" w:rsidR="00EC218F" w:rsidRDefault="00EC218F" w:rsidP="00D23059">
      <w:pPr>
        <w:ind w:left="1080"/>
        <w:jc w:val="both"/>
      </w:pPr>
    </w:p>
    <w:p w14:paraId="19EAE3CB" w14:textId="77777777" w:rsidR="00EC218F" w:rsidRPr="00B44A20" w:rsidRDefault="00EC218F" w:rsidP="00D23059">
      <w:pPr>
        <w:jc w:val="both"/>
      </w:pPr>
      <w:r>
        <w:t xml:space="preserve"> </w:t>
      </w:r>
    </w:p>
    <w:sectPr w:rsidR="00EC218F" w:rsidRPr="00B44A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rie Adele MATINGU SENGA" w:date="2024-12-10T13:07:00Z" w:initials="MAMS">
    <w:p w14:paraId="0033E3C4" w14:textId="77777777" w:rsidR="00710817" w:rsidRDefault="00710817">
      <w:pPr>
        <w:pStyle w:val="Commentaire"/>
      </w:pPr>
      <w:r>
        <w:rPr>
          <w:rStyle w:val="Marquedecommentaire"/>
        </w:rPr>
        <w:annotationRef/>
      </w:r>
      <w:r>
        <w:t>Priorité des priorités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33E3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33E3C4" w16cid:durableId="2B02BB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50D3"/>
    <w:multiLevelType w:val="hybridMultilevel"/>
    <w:tmpl w:val="DC543F7E"/>
    <w:lvl w:ilvl="0" w:tplc="2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26B7B"/>
    <w:multiLevelType w:val="hybridMultilevel"/>
    <w:tmpl w:val="5F6AFBEA"/>
    <w:lvl w:ilvl="0" w:tplc="2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5C41"/>
    <w:multiLevelType w:val="hybridMultilevel"/>
    <w:tmpl w:val="CB24BBF4"/>
    <w:lvl w:ilvl="0" w:tplc="2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57877"/>
    <w:multiLevelType w:val="hybridMultilevel"/>
    <w:tmpl w:val="6C6839D2"/>
    <w:lvl w:ilvl="0" w:tplc="2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A5250E"/>
    <w:multiLevelType w:val="hybridMultilevel"/>
    <w:tmpl w:val="667C2B44"/>
    <w:lvl w:ilvl="0" w:tplc="240C000F">
      <w:start w:val="1"/>
      <w:numFmt w:val="decimal"/>
      <w:lvlText w:val="%1."/>
      <w:lvlJc w:val="left"/>
      <w:pPr>
        <w:ind w:left="720" w:hanging="360"/>
      </w:p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e Adele MATINGU SENGA">
    <w15:presenceInfo w15:providerId="None" w15:userId="Marie Adele MATINGU SEN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A3"/>
    <w:rsid w:val="00044185"/>
    <w:rsid w:val="00044AD7"/>
    <w:rsid w:val="0007122A"/>
    <w:rsid w:val="00085B09"/>
    <w:rsid w:val="001251A9"/>
    <w:rsid w:val="0015634D"/>
    <w:rsid w:val="001B3449"/>
    <w:rsid w:val="00214BD7"/>
    <w:rsid w:val="00215D90"/>
    <w:rsid w:val="00223D88"/>
    <w:rsid w:val="00242E62"/>
    <w:rsid w:val="002A741A"/>
    <w:rsid w:val="00303CE2"/>
    <w:rsid w:val="00387A73"/>
    <w:rsid w:val="004D50FC"/>
    <w:rsid w:val="00527B2A"/>
    <w:rsid w:val="00600D5C"/>
    <w:rsid w:val="00601FA7"/>
    <w:rsid w:val="00662E66"/>
    <w:rsid w:val="00693BD8"/>
    <w:rsid w:val="006D1F10"/>
    <w:rsid w:val="00707B45"/>
    <w:rsid w:val="00710817"/>
    <w:rsid w:val="00715451"/>
    <w:rsid w:val="007336A3"/>
    <w:rsid w:val="007D27DB"/>
    <w:rsid w:val="0085124C"/>
    <w:rsid w:val="008D4FA9"/>
    <w:rsid w:val="0091273D"/>
    <w:rsid w:val="00916EF4"/>
    <w:rsid w:val="009274C1"/>
    <w:rsid w:val="009549E5"/>
    <w:rsid w:val="009D24D6"/>
    <w:rsid w:val="00A07CE4"/>
    <w:rsid w:val="00AB57FC"/>
    <w:rsid w:val="00AC6A01"/>
    <w:rsid w:val="00B44A20"/>
    <w:rsid w:val="00B53932"/>
    <w:rsid w:val="00B60D01"/>
    <w:rsid w:val="00B70BD3"/>
    <w:rsid w:val="00BE1FD7"/>
    <w:rsid w:val="00BE71AD"/>
    <w:rsid w:val="00C341E3"/>
    <w:rsid w:val="00C531BF"/>
    <w:rsid w:val="00D00074"/>
    <w:rsid w:val="00D23059"/>
    <w:rsid w:val="00DB4DCF"/>
    <w:rsid w:val="00EC218F"/>
    <w:rsid w:val="00EF5F64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8800"/>
  <w15:chartTrackingRefBased/>
  <w15:docId w15:val="{F1021F30-7F98-47C0-A495-B97B0108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4A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10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0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0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0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081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0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Adele MATINGU SENGA</dc:creator>
  <cp:keywords/>
  <dc:description/>
  <cp:lastModifiedBy>Marie Adele MATINGU SENGA</cp:lastModifiedBy>
  <cp:revision>29</cp:revision>
  <dcterms:created xsi:type="dcterms:W3CDTF">2024-12-10T10:46:00Z</dcterms:created>
  <dcterms:modified xsi:type="dcterms:W3CDTF">2024-12-10T13:08:00Z</dcterms:modified>
</cp:coreProperties>
</file>